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E" w:rsidRDefault="00D020FE" w:rsidP="00D020FE">
      <w:pPr>
        <w:rPr>
          <w:rFonts w:ascii="Tahoma" w:hAnsi="Tahoma" w:cs="Tahoma"/>
          <w:b/>
          <w:sz w:val="20"/>
          <w:szCs w:val="20"/>
        </w:rPr>
      </w:pPr>
    </w:p>
    <w:p w:rsidR="00D020FE" w:rsidRDefault="00D020FE" w:rsidP="00D020F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Skrócony opis</w:t>
      </w:r>
      <w:r w:rsidRPr="001C3347">
        <w:rPr>
          <w:rFonts w:ascii="Tahoma" w:hAnsi="Tahoma" w:cs="Tahoma"/>
          <w:b/>
          <w:sz w:val="20"/>
          <w:szCs w:val="20"/>
        </w:rPr>
        <w:t xml:space="preserve"> modułu kształcenia</w:t>
      </w:r>
    </w:p>
    <w:p w:rsidR="00D020FE" w:rsidRDefault="00D020FE" w:rsidP="00D020F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</w:tcPr>
          <w:p w:rsidR="00D020FE" w:rsidRPr="001E5262" w:rsidRDefault="00D12765" w:rsidP="00D127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M_WE SEMVII M 70B1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Weterynaria</w:t>
            </w:r>
          </w:p>
        </w:tc>
      </w:tr>
      <w:tr w:rsidR="00D020FE" w:rsidRPr="00454178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D020FE" w:rsidRPr="00454178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454178">
              <w:rPr>
                <w:rFonts w:ascii="Tahoma" w:hAnsi="Tahoma" w:cs="Tahoma"/>
                <w:sz w:val="20"/>
                <w:szCs w:val="20"/>
              </w:rPr>
              <w:t>Choroby koni</w:t>
            </w:r>
            <w:r w:rsidR="00454178" w:rsidRPr="00454178">
              <w:rPr>
                <w:rFonts w:ascii="Tahoma" w:hAnsi="Tahoma" w:cs="Tahoma"/>
                <w:sz w:val="20"/>
                <w:szCs w:val="20"/>
              </w:rPr>
              <w:t>. Blok I</w:t>
            </w:r>
          </w:p>
          <w:p w:rsidR="00D020FE" w:rsidRPr="00454178" w:rsidRDefault="00D020FE" w:rsidP="0045417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178">
              <w:rPr>
                <w:rFonts w:ascii="Tahoma" w:hAnsi="Tahoma" w:cs="Tahoma"/>
                <w:sz w:val="20"/>
                <w:szCs w:val="20"/>
              </w:rPr>
              <w:t>Equine</w:t>
            </w:r>
            <w:proofErr w:type="spellEnd"/>
            <w:r w:rsidRPr="004541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54178">
              <w:rPr>
                <w:rFonts w:ascii="Tahoma" w:hAnsi="Tahoma" w:cs="Tahoma"/>
                <w:sz w:val="20"/>
                <w:szCs w:val="20"/>
              </w:rPr>
              <w:t>diseases</w:t>
            </w:r>
            <w:proofErr w:type="spellEnd"/>
            <w:r w:rsidR="00454178" w:rsidRPr="0045417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54178">
              <w:rPr>
                <w:rFonts w:ascii="Tahoma" w:hAnsi="Tahoma" w:cs="Tahoma"/>
                <w:sz w:val="20"/>
                <w:szCs w:val="20"/>
              </w:rPr>
              <w:t>Block I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5985" w:type="dxa"/>
          </w:tcPr>
          <w:p w:rsidR="00D020FE" w:rsidRPr="001E5262" w:rsidRDefault="00454178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D020FE">
              <w:rPr>
                <w:rFonts w:ascii="Tahoma" w:hAnsi="Tahoma" w:cs="Tahoma"/>
                <w:sz w:val="20"/>
                <w:szCs w:val="20"/>
              </w:rPr>
              <w:t>bowiązkowy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D020FE" w:rsidRPr="00602226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D020FE" w:rsidRPr="00602226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VII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 xml:space="preserve">Liczba punktów ECTS z podziałem na kontaktowe/ </w:t>
            </w:r>
            <w:proofErr w:type="spellStart"/>
            <w:r w:rsidRPr="001E5262">
              <w:rPr>
                <w:rFonts w:ascii="Tahoma" w:hAnsi="Tahoma" w:cs="Tahom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985" w:type="dxa"/>
          </w:tcPr>
          <w:p w:rsidR="00D020FE" w:rsidRPr="001E5262" w:rsidRDefault="00454178" w:rsidP="00F871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6,0</w:t>
            </w:r>
            <w:r w:rsidR="00D020FE">
              <w:rPr>
                <w:rFonts w:ascii="Tahoma" w:hAnsi="Tahoma" w:cs="Tahoma"/>
                <w:sz w:val="20"/>
                <w:szCs w:val="20"/>
              </w:rPr>
              <w:t xml:space="preserve"> w tym punkty kontaktowe </w:t>
            </w:r>
            <w:r w:rsidR="00F871D0" w:rsidRPr="00F871D0">
              <w:rPr>
                <w:rFonts w:ascii="Tahoma" w:hAnsi="Tahoma" w:cs="Tahoma"/>
                <w:sz w:val="20"/>
                <w:szCs w:val="20"/>
              </w:rPr>
              <w:t>3</w:t>
            </w:r>
            <w:r w:rsidR="00D020FE" w:rsidRPr="00F871D0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Tytuł/ stopień/</w:t>
            </w:r>
            <w:r w:rsidRPr="001E5262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985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dr hab. Zbigniew Grądzki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oferująca moduł</w:t>
            </w:r>
          </w:p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Katedra Epizootiologii i Klinika Chorób Zakaźnych Wydziału Medycyny Weterynaryjnej UP w Lublinie</w:t>
            </w:r>
            <w:r w:rsidR="0045417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54178" w:rsidRPr="00454178">
              <w:rPr>
                <w:rFonts w:ascii="Tahoma" w:hAnsi="Tahoma" w:cs="Tahoma"/>
                <w:sz w:val="20"/>
                <w:szCs w:val="20"/>
              </w:rPr>
              <w:t>Katedra i Klinika Chorób Wewnętrznych Zwierząt, Zakład Chorób Wewnętrznych Zwierząt Gospodarskich i Koni</w:t>
            </w:r>
            <w:r w:rsidR="00454178">
              <w:rPr>
                <w:rFonts w:ascii="Tahoma" w:hAnsi="Tahoma" w:cs="Tahoma"/>
                <w:sz w:val="20"/>
                <w:szCs w:val="20"/>
              </w:rPr>
              <w:t xml:space="preserve"> Wydziału Medycyny Weterynaryjnej UP w Lublinie</w:t>
            </w:r>
          </w:p>
        </w:tc>
      </w:tr>
      <w:tr w:rsidR="00D020FE" w:rsidRPr="001E5262" w:rsidTr="00FB1E3F">
        <w:tc>
          <w:tcPr>
            <w:tcW w:w="3227" w:type="dxa"/>
          </w:tcPr>
          <w:p w:rsidR="00D020FE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Cel modułu</w:t>
            </w:r>
          </w:p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</w:tcPr>
          <w:p w:rsidR="00D020FE" w:rsidRPr="001E5262" w:rsidRDefault="00D020FE" w:rsidP="00D93F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Przekazanie studentom wiedzy, niezbędnej do wykonywania zawodu lekarza weterynarii, dotyczącej etiologii, epidemiologii, patogenezy, diagnostyki, terapii i profilaktyki chorób zakaźnych </w:t>
            </w:r>
            <w:r w:rsidR="00D93F11">
              <w:rPr>
                <w:rFonts w:ascii="Tahoma" w:hAnsi="Tahoma" w:cs="Tahoma"/>
                <w:sz w:val="20"/>
                <w:szCs w:val="20"/>
              </w:rPr>
              <w:t xml:space="preserve">i niezakaźnych </w:t>
            </w:r>
            <w:r>
              <w:rPr>
                <w:rFonts w:ascii="Tahoma" w:hAnsi="Tahoma" w:cs="Tahoma"/>
                <w:sz w:val="20"/>
                <w:szCs w:val="20"/>
              </w:rPr>
              <w:t>koni oraz zasad postępowania administracyjnego w przypadku podejrzenia oraz stwierdzenia chorób podlegających obowiązkowi zwalczania</w:t>
            </w:r>
          </w:p>
        </w:tc>
      </w:tr>
      <w:tr w:rsidR="00D020FE" w:rsidRPr="001E5262" w:rsidTr="00FB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4D3702">
              <w:rPr>
                <w:rFonts w:ascii="Tahoma" w:hAnsi="Tahoma" w:cs="Tahoma"/>
                <w:sz w:val="20"/>
                <w:szCs w:val="20"/>
              </w:rPr>
              <w:t>Program wykładów i ćw</w:t>
            </w:r>
            <w:r w:rsidR="00454178">
              <w:rPr>
                <w:rFonts w:ascii="Tahoma" w:hAnsi="Tahoma" w:cs="Tahoma"/>
                <w:sz w:val="20"/>
                <w:szCs w:val="20"/>
              </w:rPr>
              <w:t>iczeń z przedmiotu Choroby koni. Blok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obejmuje etiologię, epidemiologię, patogenezę, objawy klinicz</w:t>
            </w:r>
            <w:r w:rsidR="00D93F11">
              <w:rPr>
                <w:rFonts w:ascii="Tahoma" w:hAnsi="Tahoma" w:cs="Tahoma"/>
                <w:sz w:val="20"/>
                <w:szCs w:val="20"/>
              </w:rPr>
              <w:t xml:space="preserve">ne, zmiany anatomopatologiczne,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rozpoznawanie, rozpoznanie różnicowe, leczenie, profilaktykę i zwalczanie </w:t>
            </w:r>
            <w:r w:rsidR="00D93F11">
              <w:rPr>
                <w:rFonts w:ascii="Tahoma" w:hAnsi="Tahoma" w:cs="Tahoma"/>
                <w:sz w:val="20"/>
                <w:szCs w:val="20"/>
              </w:rPr>
              <w:t>chorób zakaźnych, w tym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1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4178">
              <w:rPr>
                <w:rFonts w:ascii="Tahoma" w:hAnsi="Tahoma" w:cs="Tahoma"/>
                <w:sz w:val="20"/>
                <w:szCs w:val="20"/>
              </w:rPr>
              <w:t xml:space="preserve">Afrykański pomór koni, </w:t>
            </w:r>
            <w:r w:rsidR="00190CC4">
              <w:rPr>
                <w:rFonts w:ascii="Tahoma" w:hAnsi="Tahoma" w:cs="Tahoma"/>
                <w:sz w:val="20"/>
                <w:szCs w:val="20"/>
              </w:rPr>
              <w:t xml:space="preserve">niedokrwistość zakaźna koni, wirusowe zapalenie tętnic, </w:t>
            </w:r>
            <w:r w:rsidRPr="00190CC4">
              <w:rPr>
                <w:rFonts w:ascii="Tahoma" w:hAnsi="Tahoma" w:cs="Tahoma"/>
                <w:sz w:val="20"/>
                <w:szCs w:val="20"/>
              </w:rPr>
              <w:t>zakaźne zapal</w:t>
            </w:r>
            <w:r w:rsidR="00190CC4">
              <w:rPr>
                <w:rFonts w:ascii="Tahoma" w:hAnsi="Tahoma" w:cs="Tahoma"/>
                <w:sz w:val="20"/>
                <w:szCs w:val="20"/>
              </w:rPr>
              <w:t>enie macicy klaczy, salmonelloza, z</w:t>
            </w:r>
            <w:r w:rsidRPr="00190CC4">
              <w:rPr>
                <w:rFonts w:ascii="Tahoma" w:hAnsi="Tahoma" w:cs="Tahoma"/>
                <w:sz w:val="20"/>
                <w:szCs w:val="20"/>
              </w:rPr>
              <w:t xml:space="preserve">akażenia </w:t>
            </w:r>
            <w:proofErr w:type="spellStart"/>
            <w:r w:rsidRPr="00190CC4">
              <w:rPr>
                <w:rFonts w:ascii="Tahoma" w:hAnsi="Tahoma" w:cs="Tahoma"/>
                <w:sz w:val="20"/>
                <w:szCs w:val="20"/>
              </w:rPr>
              <w:t>herpeswirusowe</w:t>
            </w:r>
            <w:proofErr w:type="spellEnd"/>
            <w:r w:rsidRPr="00190CC4">
              <w:rPr>
                <w:rFonts w:ascii="Tahoma" w:hAnsi="Tahoma" w:cs="Tahoma"/>
                <w:sz w:val="20"/>
                <w:szCs w:val="20"/>
              </w:rPr>
              <w:t xml:space="preserve"> (EHV1, EHV4, EHV3)</w:t>
            </w:r>
            <w:r w:rsidR="00190C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0CC4">
              <w:rPr>
                <w:rFonts w:ascii="Tahoma" w:hAnsi="Tahoma" w:cs="Tahoma"/>
                <w:sz w:val="20"/>
                <w:szCs w:val="20"/>
              </w:rPr>
              <w:t>grypa, choroby grypopodobne</w:t>
            </w:r>
            <w:r w:rsidR="00190CC4">
              <w:rPr>
                <w:rFonts w:ascii="Tahoma" w:hAnsi="Tahoma" w:cs="Tahoma"/>
                <w:sz w:val="20"/>
                <w:szCs w:val="20"/>
              </w:rPr>
              <w:t>, z</w:t>
            </w:r>
            <w:r w:rsidRPr="00190CC4">
              <w:rPr>
                <w:rFonts w:ascii="Tahoma" w:hAnsi="Tahoma" w:cs="Tahoma"/>
                <w:sz w:val="20"/>
                <w:szCs w:val="20"/>
              </w:rPr>
              <w:t>akaźne zapalenia naczyń chłonnych, nosacizna, zołzy</w:t>
            </w:r>
            <w:r w:rsidR="00190C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90CC4">
              <w:rPr>
                <w:rFonts w:ascii="Tahoma" w:hAnsi="Tahoma" w:cs="Tahoma"/>
                <w:sz w:val="20"/>
                <w:szCs w:val="20"/>
              </w:rPr>
              <w:t>gorączka Zachodniego Nilu, zakaźne zapalenia mózgu i rdzenia, tężec</w:t>
            </w:r>
            <w:r w:rsidR="00190C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C6C99">
              <w:rPr>
                <w:rFonts w:ascii="Tahoma" w:hAnsi="Tahoma" w:cs="Tahoma"/>
                <w:sz w:val="20"/>
                <w:szCs w:val="20"/>
              </w:rPr>
              <w:t>zakaźne choroby płuc</w:t>
            </w:r>
            <w:r w:rsidR="00190CC4">
              <w:rPr>
                <w:rFonts w:ascii="Tahoma" w:hAnsi="Tahoma" w:cs="Tahoma"/>
                <w:sz w:val="20"/>
                <w:szCs w:val="20"/>
              </w:rPr>
              <w:t xml:space="preserve"> źrebiąt</w:t>
            </w:r>
            <w:r w:rsidRPr="001C6C99">
              <w:rPr>
                <w:rFonts w:ascii="Tahoma" w:hAnsi="Tahoma" w:cs="Tahoma"/>
                <w:sz w:val="20"/>
                <w:szCs w:val="20"/>
              </w:rPr>
              <w:t>, biegunki n</w:t>
            </w:r>
            <w:r w:rsidR="00190CC4">
              <w:rPr>
                <w:rFonts w:ascii="Tahoma" w:hAnsi="Tahoma" w:cs="Tahoma"/>
                <w:sz w:val="20"/>
                <w:szCs w:val="20"/>
              </w:rPr>
              <w:t>oworodków, posocznica (</w:t>
            </w:r>
            <w:r>
              <w:rPr>
                <w:rFonts w:ascii="Tahoma" w:hAnsi="Tahoma" w:cs="Tahoma"/>
                <w:sz w:val="20"/>
                <w:szCs w:val="20"/>
              </w:rPr>
              <w:t>kulawka</w:t>
            </w:r>
            <w:r w:rsidR="00D93F11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 w:rsidR="00D93F11">
              <w:rPr>
                <w:rFonts w:ascii="Tahoma" w:hAnsi="Tahoma" w:cs="Tahoma"/>
                <w:sz w:val="20"/>
                <w:szCs w:val="20"/>
              </w:rPr>
              <w:t>rodokokoza</w:t>
            </w:r>
            <w:proofErr w:type="spellEnd"/>
            <w:r w:rsidR="00D93F11">
              <w:rPr>
                <w:rFonts w:ascii="Tahoma" w:hAnsi="Tahoma" w:cs="Tahoma"/>
                <w:sz w:val="20"/>
                <w:szCs w:val="20"/>
              </w:rPr>
              <w:t xml:space="preserve"> oraz</w:t>
            </w:r>
          </w:p>
          <w:p w:rsidR="00454178" w:rsidRPr="001E5262" w:rsidRDefault="00190CC4" w:rsidP="00454178">
            <w:pPr>
              <w:rPr>
                <w:rFonts w:ascii="Tahoma" w:hAnsi="Tahoma" w:cs="Tahoma"/>
                <w:sz w:val="20"/>
                <w:szCs w:val="20"/>
              </w:rPr>
            </w:pPr>
            <w:r w:rsidRPr="00190CC4">
              <w:rPr>
                <w:rFonts w:ascii="Tahoma" w:hAnsi="Tahoma" w:cs="Tahoma"/>
                <w:sz w:val="20"/>
                <w:szCs w:val="20"/>
              </w:rPr>
              <w:t>etiopatogenezę, symptomatologię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93F11">
              <w:rPr>
                <w:rFonts w:ascii="Tahoma" w:hAnsi="Tahoma" w:cs="Tahoma"/>
                <w:sz w:val="20"/>
                <w:szCs w:val="20"/>
              </w:rPr>
              <w:t>d</w:t>
            </w:r>
            <w:r w:rsidR="00D93F11" w:rsidRPr="00190CC4">
              <w:rPr>
                <w:rFonts w:ascii="Tahoma" w:hAnsi="Tahoma" w:cs="Tahoma"/>
                <w:sz w:val="20"/>
                <w:szCs w:val="20"/>
              </w:rPr>
              <w:t>iagnostykę</w:t>
            </w:r>
            <w:r w:rsidR="00D93F11">
              <w:rPr>
                <w:rFonts w:ascii="Tahoma" w:hAnsi="Tahoma" w:cs="Tahoma"/>
                <w:sz w:val="20"/>
                <w:szCs w:val="20"/>
              </w:rPr>
              <w:t>,</w:t>
            </w:r>
            <w:r w:rsidR="00D93F11" w:rsidRPr="00190CC4">
              <w:rPr>
                <w:rFonts w:ascii="Tahoma" w:hAnsi="Tahoma" w:cs="Tahoma"/>
                <w:sz w:val="20"/>
                <w:szCs w:val="20"/>
              </w:rPr>
              <w:t xml:space="preserve"> diagnostykę różnicową</w:t>
            </w:r>
            <w:r w:rsidR="00D93F11">
              <w:rPr>
                <w:rFonts w:ascii="Tahoma" w:hAnsi="Tahoma" w:cs="Tahoma"/>
                <w:sz w:val="20"/>
                <w:szCs w:val="20"/>
              </w:rPr>
              <w:t>,</w:t>
            </w:r>
            <w:r w:rsidR="00D93F11" w:rsidRPr="00190C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3F11">
              <w:rPr>
                <w:rFonts w:ascii="Tahoma" w:hAnsi="Tahoma" w:cs="Tahoma"/>
                <w:sz w:val="20"/>
                <w:szCs w:val="20"/>
              </w:rPr>
              <w:t xml:space="preserve">zapobieganie 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>oraz leczenie chorób niezakaźnych: skóry i jej pochodnych, układu oddechowego, układu krążenia, układu pokarmowego, układu wydalniczego, układu nerwowego</w:t>
            </w:r>
            <w:r w:rsidR="00D93F11">
              <w:rPr>
                <w:rFonts w:ascii="Tahoma" w:hAnsi="Tahoma" w:cs="Tahoma"/>
                <w:sz w:val="20"/>
                <w:szCs w:val="20"/>
              </w:rPr>
              <w:t>,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 ochwatu, chorób niedoborowych</w:t>
            </w:r>
            <w:r w:rsidR="00D93F11">
              <w:rPr>
                <w:rFonts w:ascii="Tahoma" w:hAnsi="Tahoma" w:cs="Tahoma"/>
                <w:sz w:val="20"/>
                <w:szCs w:val="20"/>
              </w:rPr>
              <w:t>, chorób źrebiąt oraz miopatii,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3F11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g</w:t>
            </w:r>
            <w:r w:rsidRPr="00190CC4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ospodarkę</w:t>
            </w:r>
            <w:r w:rsidR="00454178" w:rsidRPr="00190CC4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 xml:space="preserve"> w</w:t>
            </w:r>
            <w:r w:rsidRPr="00190CC4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odno-elektrolitową</w:t>
            </w:r>
            <w:r w:rsidR="00674802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 xml:space="preserve"> </w:t>
            </w:r>
            <w:r w:rsidR="00454178" w:rsidRPr="00190CC4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i jej zburzenia</w:t>
            </w:r>
            <w:r w:rsidR="00D93F11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>,</w:t>
            </w:r>
            <w:r w:rsidRPr="00190CC4">
              <w:rPr>
                <w:rFonts w:ascii="Tahoma" w:hAnsi="Tahoma" w:cs="Tahoma"/>
                <w:color w:val="000000"/>
                <w:w w:val="101"/>
                <w:sz w:val="20"/>
                <w:szCs w:val="20"/>
              </w:rPr>
              <w:t xml:space="preserve"> </w:t>
            </w:r>
            <w:r w:rsidR="00D93F11">
              <w:rPr>
                <w:rFonts w:ascii="Tahoma" w:hAnsi="Tahoma" w:cs="Tahoma"/>
                <w:sz w:val="20"/>
                <w:szCs w:val="20"/>
              </w:rPr>
              <w:t>p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>ostęp</w:t>
            </w:r>
            <w:r w:rsidR="00D93F11">
              <w:rPr>
                <w:rFonts w:ascii="Tahoma" w:hAnsi="Tahoma" w:cs="Tahoma"/>
                <w:sz w:val="20"/>
                <w:szCs w:val="20"/>
              </w:rPr>
              <w:t>owanie zachowawcze w morzyskach, z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>asady postępowania w intensywnej t</w:t>
            </w:r>
            <w:r w:rsidR="00D93F11">
              <w:rPr>
                <w:rFonts w:ascii="Tahoma" w:hAnsi="Tahoma" w:cs="Tahoma"/>
                <w:sz w:val="20"/>
                <w:szCs w:val="20"/>
              </w:rPr>
              <w:t>erapii chorób wewnętrznych koni,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3F11">
              <w:rPr>
                <w:rFonts w:ascii="Tahoma" w:hAnsi="Tahoma" w:cs="Tahoma"/>
                <w:sz w:val="20"/>
                <w:szCs w:val="20"/>
              </w:rPr>
              <w:t>zaburzenia metaboliczne,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3F11">
              <w:rPr>
                <w:rFonts w:ascii="Tahoma" w:hAnsi="Tahoma" w:cs="Tahoma"/>
                <w:sz w:val="20"/>
                <w:szCs w:val="20"/>
              </w:rPr>
              <w:t>w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>ybrane zagadnienia z endokrynologii koni (cukrzyca, choroby tarczycy, moczówka prosta, karłowatość pr</w:t>
            </w:r>
            <w:r w:rsidR="00D93F11">
              <w:rPr>
                <w:rFonts w:ascii="Tahoma" w:hAnsi="Tahoma" w:cs="Tahoma"/>
                <w:sz w:val="20"/>
                <w:szCs w:val="20"/>
              </w:rPr>
              <w:t>zysadkowa, zespół metaboliczny), d</w:t>
            </w:r>
            <w:r w:rsidRPr="00190CC4">
              <w:rPr>
                <w:rFonts w:ascii="Tahoma" w:hAnsi="Tahoma" w:cs="Tahoma"/>
                <w:sz w:val="20"/>
                <w:szCs w:val="20"/>
              </w:rPr>
              <w:t>iagnostykę laboratoryjną</w:t>
            </w:r>
            <w:r w:rsidR="00454178" w:rsidRPr="00190CC4">
              <w:rPr>
                <w:rFonts w:ascii="Tahoma" w:hAnsi="Tahoma" w:cs="Tahoma"/>
                <w:sz w:val="20"/>
                <w:szCs w:val="20"/>
              </w:rPr>
              <w:t xml:space="preserve"> za</w:t>
            </w:r>
            <w:r w:rsidR="00595AF3">
              <w:rPr>
                <w:rFonts w:ascii="Tahoma" w:hAnsi="Tahoma" w:cs="Tahoma"/>
                <w:sz w:val="20"/>
                <w:szCs w:val="20"/>
              </w:rPr>
              <w:t>burzeń narządowych i układowych</w:t>
            </w:r>
          </w:p>
        </w:tc>
      </w:tr>
      <w:tr w:rsidR="00D020FE" w:rsidRPr="001E5262" w:rsidTr="00F871D0">
        <w:trPr>
          <w:trHeight w:val="5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lastRenderedPageBreak/>
              <w:t>Zalecana lista lektur lub lektury obowiązkowe</w:t>
            </w:r>
          </w:p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Gliński Z. red.: Choroby zakaźne zwierząt I. Epizootiologia ogólna. Wyd. AR Lublin, 1999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Kita J.,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Kaba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J. red.: Podstawy epidemiologii weterynaryjnej. Wyd. SGGW, Warszawa 2008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Winiarczyk S., Grądzki Z. red.: Choroby zakaźne zwierząt domowych z elementami zoonoz. Lublin, 2000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Dietz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O.,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Huskamp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B.: Praktyka kliniczna: Konie. Galaktyka, Łódź, 2008</w:t>
            </w:r>
          </w:p>
          <w:p w:rsidR="00D020FE" w:rsidRPr="007A6921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F210D">
              <w:rPr>
                <w:rFonts w:ascii="Tahoma" w:hAnsi="Tahoma" w:cs="Tahoma"/>
                <w:sz w:val="20"/>
                <w:szCs w:val="20"/>
                <w:lang w:val="en-GB"/>
              </w:rPr>
              <w:t>Sellon</w:t>
            </w:r>
            <w:proofErr w:type="spellEnd"/>
            <w:r w:rsidRPr="006F210D">
              <w:rPr>
                <w:rFonts w:ascii="Tahoma" w:hAnsi="Tahoma" w:cs="Tahoma"/>
                <w:sz w:val="20"/>
                <w:szCs w:val="20"/>
                <w:lang w:val="en-GB"/>
              </w:rPr>
              <w:t xml:space="preserve"> D.C., Long M.T: Equine infectious diseases. </w:t>
            </w:r>
            <w:r w:rsidRPr="007A6921">
              <w:rPr>
                <w:rFonts w:ascii="Tahoma" w:hAnsi="Tahoma" w:cs="Tahoma"/>
                <w:sz w:val="20"/>
                <w:szCs w:val="20"/>
                <w:lang w:val="en-US"/>
              </w:rPr>
              <w:t>Saunders, Elsevier, St. Louis, Missouri 2007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Robinson N.E: Current therapy in equine medicine. Saunders, Elsevier, </w:t>
            </w:r>
            <w:r w:rsidRPr="007A6921">
              <w:rPr>
                <w:rFonts w:ascii="Tahoma" w:hAnsi="Tahoma" w:cs="Tahoma"/>
                <w:sz w:val="20"/>
                <w:szCs w:val="20"/>
                <w:lang w:val="en-US"/>
              </w:rPr>
              <w:t>St. Louis, Missouri 200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Knottenbelt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D.C.: Equine neonatology medicine and surgery. Saunders, Elsevier, </w:t>
            </w:r>
            <w:r w:rsidRPr="007A6921">
              <w:rPr>
                <w:rFonts w:ascii="Tahoma" w:hAnsi="Tahoma" w:cs="Tahoma"/>
                <w:sz w:val="20"/>
                <w:szCs w:val="20"/>
                <w:lang w:val="en-US"/>
              </w:rPr>
              <w:t>St. Louis, Missouri 200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Knottenbelt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D.C, Pascoe R.R.: Color atlas of diseases and disorders of the horse. Mosby, Elsevier, 1994</w:t>
            </w:r>
          </w:p>
          <w:p w:rsidR="00D020FE" w:rsidRDefault="00D020FE" w:rsidP="00674802">
            <w:pPr>
              <w:numPr>
                <w:ilvl w:val="0"/>
                <w:numId w:val="2"/>
              </w:numPr>
              <w:ind w:left="175" w:hanging="218"/>
              <w:rPr>
                <w:rFonts w:ascii="Tahoma" w:hAnsi="Tahoma" w:cs="Tahoma"/>
                <w:sz w:val="20"/>
                <w:szCs w:val="20"/>
              </w:rPr>
            </w:pPr>
            <w:r w:rsidRPr="007D3D91">
              <w:rPr>
                <w:rFonts w:ascii="Tahoma" w:hAnsi="Tahoma" w:cs="Tahoma"/>
                <w:sz w:val="20"/>
                <w:szCs w:val="20"/>
                <w:lang w:val="en-US"/>
              </w:rPr>
              <w:t xml:space="preserve">Rush B., </w:t>
            </w:r>
            <w:proofErr w:type="spellStart"/>
            <w:r w:rsidRPr="007D3D91">
              <w:rPr>
                <w:rFonts w:ascii="Tahoma" w:hAnsi="Tahoma" w:cs="Tahoma"/>
                <w:sz w:val="20"/>
                <w:szCs w:val="20"/>
                <w:lang w:val="en-US"/>
              </w:rPr>
              <w:t>Mair</w:t>
            </w:r>
            <w:proofErr w:type="spellEnd"/>
            <w:r w:rsidRPr="007D3D91">
              <w:rPr>
                <w:rFonts w:ascii="Tahoma" w:hAnsi="Tahoma" w:cs="Tahoma"/>
                <w:sz w:val="20"/>
                <w:szCs w:val="20"/>
                <w:lang w:val="en-US"/>
              </w:rPr>
              <w:t xml:space="preserve"> T.: Equine respiratory diseases.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Blackwell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Science, 2004</w:t>
            </w:r>
          </w:p>
          <w:p w:rsidR="00674802" w:rsidRPr="00674802" w:rsidRDefault="00190CC4" w:rsidP="00CB78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5" w:hanging="283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>McAulife</w:t>
            </w:r>
            <w:proofErr w:type="spellEnd"/>
            <w:r w:rsidR="00674802" w:rsidRPr="0067480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674802">
              <w:rPr>
                <w:rFonts w:ascii="Tahoma" w:hAnsi="Tahoma" w:cs="Tahoma"/>
                <w:sz w:val="20"/>
                <w:szCs w:val="20"/>
                <w:lang w:val="en-GB"/>
              </w:rPr>
              <w:t>S.</w:t>
            </w:r>
            <w:r w:rsidR="00674802" w:rsidRPr="00674802">
              <w:rPr>
                <w:rFonts w:ascii="Tahoma" w:hAnsi="Tahoma" w:cs="Tahoma"/>
                <w:sz w:val="20"/>
                <w:szCs w:val="20"/>
                <w:lang w:val="en-GB"/>
              </w:rPr>
              <w:t>B</w:t>
            </w:r>
            <w:r w:rsidR="00674802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74802" w:rsidRPr="00674802">
              <w:rPr>
                <w:rFonts w:ascii="Tahoma" w:hAnsi="Tahoma" w:cs="Tahoma"/>
                <w:sz w:val="20"/>
                <w:szCs w:val="20"/>
                <w:lang w:val="en-GB"/>
              </w:rPr>
              <w:t>Slovis</w:t>
            </w:r>
            <w:proofErr w:type="spellEnd"/>
            <w:r w:rsidR="00674802" w:rsidRPr="0067480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>N.M</w:t>
            </w:r>
            <w:r w:rsidR="00674802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 xml:space="preserve">: Atlas </w:t>
            </w:r>
            <w:proofErr w:type="spellStart"/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>choró</w:t>
            </w:r>
            <w:proofErr w:type="spellEnd"/>
            <w:r w:rsidRPr="00674802">
              <w:rPr>
                <w:rFonts w:ascii="Tahoma" w:hAnsi="Tahoma" w:cs="Tahoma"/>
                <w:sz w:val="20"/>
                <w:szCs w:val="20"/>
                <w:lang w:val="en-US"/>
              </w:rPr>
              <w:t xml:space="preserve">b </w:t>
            </w:r>
            <w:proofErr w:type="spellStart"/>
            <w:r w:rsidRPr="00674802">
              <w:rPr>
                <w:rFonts w:ascii="Tahoma" w:hAnsi="Tahoma" w:cs="Tahoma"/>
                <w:sz w:val="20"/>
                <w:szCs w:val="20"/>
                <w:lang w:val="en-US"/>
              </w:rPr>
              <w:t>źrebiąt</w:t>
            </w:r>
            <w:proofErr w:type="spellEnd"/>
            <w:r w:rsidRPr="0067480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>Elsevier</w:t>
            </w:r>
            <w:r w:rsidR="00CB7853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2010</w:t>
            </w:r>
            <w:r w:rsidRPr="00674802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:rsidR="00674802" w:rsidRDefault="00190CC4" w:rsidP="00CB78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 w:rsidRPr="00674802">
              <w:rPr>
                <w:rFonts w:ascii="Tahoma" w:hAnsi="Tahoma" w:cs="Tahoma"/>
                <w:sz w:val="20"/>
                <w:szCs w:val="20"/>
              </w:rPr>
              <w:t>Strasser</w:t>
            </w:r>
            <w:r w:rsidR="00674802" w:rsidRPr="00674802"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674802">
              <w:rPr>
                <w:rFonts w:ascii="Tahoma" w:hAnsi="Tahoma" w:cs="Tahoma"/>
                <w:sz w:val="20"/>
                <w:szCs w:val="20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</w:rPr>
              <w:t>: Ochwat</w:t>
            </w:r>
            <w:r w:rsidR="00CB7853">
              <w:rPr>
                <w:rFonts w:ascii="Tahoma" w:hAnsi="Tahoma" w:cs="Tahoma"/>
                <w:sz w:val="20"/>
                <w:szCs w:val="20"/>
              </w:rPr>
              <w:t>, Warszawa 2007</w:t>
            </w:r>
          </w:p>
          <w:p w:rsidR="00674802" w:rsidRDefault="00190CC4" w:rsidP="00CB78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 w:rsidRPr="00674802">
              <w:rPr>
                <w:rFonts w:ascii="Tahoma" w:hAnsi="Tahoma" w:cs="Tahoma"/>
                <w:sz w:val="20"/>
                <w:szCs w:val="20"/>
              </w:rPr>
              <w:t>Madej E</w:t>
            </w:r>
            <w:r w:rsidR="00674802">
              <w:rPr>
                <w:rFonts w:ascii="Tahoma" w:hAnsi="Tahoma" w:cs="Tahoma"/>
                <w:sz w:val="20"/>
                <w:szCs w:val="20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74802">
              <w:rPr>
                <w:rFonts w:ascii="Tahoma" w:hAnsi="Tahoma" w:cs="Tahoma"/>
                <w:sz w:val="20"/>
                <w:szCs w:val="20"/>
              </w:rPr>
              <w:t>Riha</w:t>
            </w:r>
            <w:proofErr w:type="spellEnd"/>
            <w:r w:rsidRPr="00674802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="00674802">
              <w:rPr>
                <w:rFonts w:ascii="Tahoma" w:hAnsi="Tahoma" w:cs="Tahoma"/>
                <w:sz w:val="20"/>
                <w:szCs w:val="20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</w:rPr>
              <w:t>, Lutnicki K</w:t>
            </w:r>
            <w:r w:rsidR="00674802">
              <w:rPr>
                <w:rFonts w:ascii="Tahoma" w:hAnsi="Tahoma" w:cs="Tahoma"/>
                <w:sz w:val="20"/>
                <w:szCs w:val="20"/>
              </w:rPr>
              <w:t>.</w:t>
            </w:r>
            <w:r w:rsidRPr="00674802">
              <w:rPr>
                <w:rFonts w:ascii="Tahoma" w:hAnsi="Tahoma" w:cs="Tahoma"/>
                <w:sz w:val="20"/>
                <w:szCs w:val="20"/>
              </w:rPr>
              <w:t>: Choro</w:t>
            </w:r>
            <w:r w:rsidR="00CB7853">
              <w:rPr>
                <w:rFonts w:ascii="Tahoma" w:hAnsi="Tahoma" w:cs="Tahoma"/>
                <w:sz w:val="20"/>
                <w:szCs w:val="20"/>
              </w:rPr>
              <w:t>by kolkowe koni Wyd. UP Lublin 2011</w:t>
            </w:r>
          </w:p>
          <w:p w:rsidR="00D020FE" w:rsidRPr="00674802" w:rsidRDefault="00D020FE" w:rsidP="00CB7853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5" w:hanging="283"/>
              <w:rPr>
                <w:rFonts w:ascii="Tahoma" w:hAnsi="Tahoma" w:cs="Tahoma"/>
                <w:sz w:val="20"/>
                <w:szCs w:val="20"/>
              </w:rPr>
            </w:pPr>
            <w:r w:rsidRPr="00674802">
              <w:rPr>
                <w:rFonts w:ascii="Tahoma" w:hAnsi="Tahoma" w:cs="Tahoma"/>
                <w:sz w:val="20"/>
                <w:szCs w:val="20"/>
              </w:rPr>
              <w:t>Fachowe piśmiennictwo weterynaryjne, zagraniczne i krajowe</w:t>
            </w:r>
          </w:p>
        </w:tc>
      </w:tr>
      <w:tr w:rsidR="00D020FE" w:rsidRPr="001E5262" w:rsidTr="00FB1E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E" w:rsidRPr="001E5262" w:rsidRDefault="00D020FE" w:rsidP="00FB1E3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Metody dydaktyczne: wykład</w:t>
            </w:r>
            <w:r>
              <w:rPr>
                <w:rFonts w:ascii="Tahoma" w:hAnsi="Tahoma" w:cs="Tahoma"/>
                <w:sz w:val="20"/>
                <w:szCs w:val="20"/>
              </w:rPr>
              <w:t>y, ćwiczenia audytoryjne, laboratoryjne i terenowe, demonstracje, staże kliniczne, konsultacje</w:t>
            </w:r>
          </w:p>
        </w:tc>
      </w:tr>
    </w:tbl>
    <w:p w:rsidR="001D00A9" w:rsidRDefault="001D00A9"/>
    <w:sectPr w:rsidR="001D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D49"/>
    <w:multiLevelType w:val="hybridMultilevel"/>
    <w:tmpl w:val="4FA01DAE"/>
    <w:lvl w:ilvl="0" w:tplc="DEDAF548">
      <w:start w:val="1"/>
      <w:numFmt w:val="decimal"/>
      <w:lvlText w:val="%1."/>
      <w:lvlJc w:val="left"/>
      <w:pPr>
        <w:ind w:left="39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917401E"/>
    <w:multiLevelType w:val="hybridMultilevel"/>
    <w:tmpl w:val="FF5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E"/>
    <w:rsid w:val="00190CC4"/>
    <w:rsid w:val="001D00A9"/>
    <w:rsid w:val="00454178"/>
    <w:rsid w:val="00595AF3"/>
    <w:rsid w:val="00674802"/>
    <w:rsid w:val="00B916D8"/>
    <w:rsid w:val="00CB7853"/>
    <w:rsid w:val="00D020FE"/>
    <w:rsid w:val="00D12765"/>
    <w:rsid w:val="00D93F11"/>
    <w:rsid w:val="00F871D0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Iwona</cp:lastModifiedBy>
  <cp:revision>2</cp:revision>
  <dcterms:created xsi:type="dcterms:W3CDTF">2014-09-03T14:20:00Z</dcterms:created>
  <dcterms:modified xsi:type="dcterms:W3CDTF">2014-09-03T14:20:00Z</dcterms:modified>
</cp:coreProperties>
</file>